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bdr w:val="none" w:color="auto" w:sz="0" w:space="0"/>
          <w:lang w:eastAsia="zh-CN"/>
        </w:rPr>
        <w:t>灵璧县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bdr w:val="none" w:color="auto" w:sz="0" w:space="0"/>
        </w:rPr>
        <w:t>选聘驻外招商人员面试成绩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pPr w:vertAnchor="text" w:horzAnchor="page" w:tblpX="1829" w:tblpY="1743"/>
        <w:tblW w:w="804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0"/>
        <w:gridCol w:w="387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抽签号</w:t>
            </w:r>
          </w:p>
        </w:tc>
        <w:tc>
          <w:tcPr>
            <w:tcW w:w="3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面试分数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70.32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76.40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77.36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73.20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74.86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78.56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69.52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80.84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80.72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73.20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73.26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75.30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73.38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76.04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74.16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D2B8A"/>
    <w:rsid w:val="209D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2019-07-13T05:53:00Z</dcterms:created>
  <dc:creator>石果</dc:creator>
  <cp:lastModifiedBy>石果</cp:lastModifiedBy>
  <dcterms:modified xsi:type="dcterms:W3CDTF">2019-07-13T05:54:18Z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